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94" w:type="dxa"/>
        <w:tblLook w:val="04A0" w:firstRow="1" w:lastRow="0" w:firstColumn="1" w:lastColumn="0" w:noHBand="0" w:noVBand="1"/>
      </w:tblPr>
      <w:tblGrid>
        <w:gridCol w:w="8359"/>
        <w:gridCol w:w="1735"/>
      </w:tblGrid>
      <w:tr w:rsidR="00A84029" w:rsidRPr="008749D5" w14:paraId="3A139FAA" w14:textId="77777777" w:rsidTr="009F5BE6">
        <w:tc>
          <w:tcPr>
            <w:tcW w:w="8359" w:type="dxa"/>
          </w:tcPr>
          <w:p w14:paraId="2931FEA8" w14:textId="24AE7217" w:rsidR="00A84029" w:rsidRPr="008749D5" w:rsidRDefault="00060B94" w:rsidP="00F30D68">
            <w:pPr>
              <w:rPr>
                <w:rFonts w:cstheme="minorHAnsi"/>
                <w:b/>
                <w:bCs/>
              </w:rPr>
            </w:pPr>
            <w:bookmarkStart w:id="0" w:name="_Hlk139442660"/>
            <w:bookmarkStart w:id="1" w:name="_Hlk144798051"/>
            <w:r w:rsidRPr="008749D5">
              <w:rPr>
                <w:rFonts w:cstheme="minorHAnsi"/>
                <w:b/>
                <w:bCs/>
              </w:rPr>
              <w:t>PLANNING APPLICATIONS</w:t>
            </w:r>
            <w:r w:rsidR="00551E08" w:rsidRPr="008749D5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735" w:type="dxa"/>
          </w:tcPr>
          <w:p w14:paraId="73B3215B" w14:textId="75C0D59A" w:rsidR="00A84029" w:rsidRPr="008749D5" w:rsidRDefault="00060B94" w:rsidP="00F30D68">
            <w:pPr>
              <w:rPr>
                <w:rFonts w:cstheme="minorHAnsi"/>
                <w:b/>
                <w:bCs/>
              </w:rPr>
            </w:pPr>
            <w:r w:rsidRPr="008749D5">
              <w:rPr>
                <w:rFonts w:cstheme="minorHAnsi"/>
                <w:b/>
                <w:bCs/>
              </w:rPr>
              <w:t>PC DECISION</w:t>
            </w:r>
          </w:p>
        </w:tc>
      </w:tr>
      <w:tr w:rsidR="00EF40AA" w:rsidRPr="008749D5" w14:paraId="10BEF10D" w14:textId="77777777" w:rsidTr="009F5BE6">
        <w:tc>
          <w:tcPr>
            <w:tcW w:w="8359" w:type="dxa"/>
          </w:tcPr>
          <w:p w14:paraId="6D298DEA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3/25/1588/FUL</w:t>
            </w:r>
          </w:p>
          <w:p w14:paraId="3106AB2E" w14:textId="4038DB81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PROPOSAL: Temporary residential use of existing ancillary building (Retrospective)</w:t>
            </w:r>
            <w:r>
              <w:rPr>
                <w:rFonts w:cstheme="minorHAnsi"/>
              </w:rPr>
              <w:t>at</w:t>
            </w:r>
            <w:r w:rsidRPr="009F5BE6">
              <w:rPr>
                <w:rFonts w:cstheme="minorHAnsi"/>
              </w:rPr>
              <w:t xml:space="preserve"> High Oaks Pigs Green Westland Green </w:t>
            </w:r>
          </w:p>
          <w:p w14:paraId="5CAD1689" w14:textId="71EDCE45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 xml:space="preserve">Deadline: Please send your comments </w:t>
            </w:r>
            <w:r>
              <w:rPr>
                <w:rFonts w:cstheme="minorHAnsi"/>
              </w:rPr>
              <w:t xml:space="preserve">to EHC </w:t>
            </w:r>
            <w:r w:rsidRPr="009F5BE6">
              <w:rPr>
                <w:rFonts w:cstheme="minorHAnsi"/>
              </w:rPr>
              <w:t>by: 3rd November 2025</w:t>
            </w:r>
          </w:p>
          <w:p w14:paraId="24E04AF4" w14:textId="4B0F16DD" w:rsidR="000E510D" w:rsidRPr="008749D5" w:rsidRDefault="000E510D" w:rsidP="009F5BE6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14:paraId="4BA8407E" w14:textId="41A323A2" w:rsidR="00551E08" w:rsidRPr="008749D5" w:rsidRDefault="00551E08" w:rsidP="00F30D68">
            <w:pPr>
              <w:rPr>
                <w:rFonts w:cstheme="minorHAnsi"/>
              </w:rPr>
            </w:pPr>
          </w:p>
        </w:tc>
      </w:tr>
      <w:tr w:rsidR="008042D6" w:rsidRPr="008749D5" w14:paraId="23204218" w14:textId="77777777" w:rsidTr="009F5BE6">
        <w:tc>
          <w:tcPr>
            <w:tcW w:w="8359" w:type="dxa"/>
          </w:tcPr>
          <w:p w14:paraId="657236BA" w14:textId="77777777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>3/25/1440/HH</w:t>
            </w:r>
          </w:p>
          <w:p w14:paraId="69AA6FC2" w14:textId="77777777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>PROPOSAL: Demolition of single-storey flat roof extension and end lean-to, erection of a</w:t>
            </w:r>
          </w:p>
          <w:p w14:paraId="51625558" w14:textId="264BDC2A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>single-storey rear extension, and single storey side extension. Alterations to</w:t>
            </w:r>
            <w:r>
              <w:rPr>
                <w:rFonts w:cstheme="minorHAnsi"/>
              </w:rPr>
              <w:t xml:space="preserve"> </w:t>
            </w:r>
            <w:r w:rsidRPr="009F5BE6">
              <w:rPr>
                <w:rFonts w:cstheme="minorHAnsi"/>
              </w:rPr>
              <w:t>rear breakfast area with insertion and removal of windows. Alterations to</w:t>
            </w:r>
            <w:r>
              <w:rPr>
                <w:rFonts w:cstheme="minorHAnsi"/>
              </w:rPr>
              <w:t xml:space="preserve"> </w:t>
            </w:r>
            <w:r w:rsidRPr="009F5BE6">
              <w:rPr>
                <w:rFonts w:cstheme="minorHAnsi"/>
              </w:rPr>
              <w:t>driveway and patio areas and relocation of wall</w:t>
            </w:r>
            <w:r>
              <w:rPr>
                <w:rFonts w:cstheme="minorHAnsi"/>
              </w:rPr>
              <w:t xml:space="preserve"> at </w:t>
            </w:r>
            <w:r w:rsidRPr="009F5BE6">
              <w:rPr>
                <w:rFonts w:cstheme="minorHAnsi"/>
              </w:rPr>
              <w:t xml:space="preserve">Mulberry Cottage Green Street </w:t>
            </w:r>
          </w:p>
          <w:p w14:paraId="4470EDCE" w14:textId="77777777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>RECONSULTATION</w:t>
            </w:r>
          </w:p>
          <w:p w14:paraId="31882C19" w14:textId="2F25F8C0" w:rsidR="00B86171" w:rsidRPr="008749D5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 xml:space="preserve">Deadline: Please send your comments </w:t>
            </w:r>
            <w:r>
              <w:rPr>
                <w:rFonts w:cstheme="minorHAnsi"/>
              </w:rPr>
              <w:t xml:space="preserve">to EHC </w:t>
            </w:r>
            <w:r w:rsidRPr="009F5BE6">
              <w:rPr>
                <w:rFonts w:cstheme="minorHAnsi"/>
              </w:rPr>
              <w:t>by: 14th November 2025</w:t>
            </w:r>
          </w:p>
        </w:tc>
        <w:tc>
          <w:tcPr>
            <w:tcW w:w="1735" w:type="dxa"/>
          </w:tcPr>
          <w:p w14:paraId="501079DF" w14:textId="0F350B4A" w:rsidR="00551E08" w:rsidRPr="008749D5" w:rsidRDefault="00551E08" w:rsidP="002E4E0C">
            <w:pPr>
              <w:shd w:val="clear" w:color="auto" w:fill="FFFFFF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  <w:bookmarkEnd w:id="0"/>
      <w:bookmarkEnd w:id="1"/>
      <w:tr w:rsidR="009F5BE6" w:rsidRPr="008749D5" w14:paraId="354DC65E" w14:textId="77777777" w:rsidTr="009F5BE6">
        <w:tc>
          <w:tcPr>
            <w:tcW w:w="8359" w:type="dxa"/>
          </w:tcPr>
          <w:p w14:paraId="0B51245E" w14:textId="4571403C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>3/25/144</w:t>
            </w:r>
            <w:r>
              <w:rPr>
                <w:rFonts w:cstheme="minorHAnsi"/>
              </w:rPr>
              <w:t>1</w:t>
            </w:r>
            <w:r w:rsidRPr="009F5BE6">
              <w:rPr>
                <w:rFonts w:cstheme="minorHAnsi"/>
              </w:rPr>
              <w:t>/</w:t>
            </w:r>
            <w:r>
              <w:rPr>
                <w:rFonts w:cstheme="minorHAnsi"/>
              </w:rPr>
              <w:t>LBC</w:t>
            </w:r>
          </w:p>
          <w:p w14:paraId="14EACA32" w14:textId="70BA6CF6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 xml:space="preserve">PROPOSAL: </w:t>
            </w:r>
            <w:r>
              <w:rPr>
                <w:rFonts w:cstheme="minorHAnsi"/>
              </w:rPr>
              <w:t xml:space="preserve">as above </w:t>
            </w:r>
            <w:r w:rsidRPr="009F5BE6">
              <w:rPr>
                <w:rFonts w:cstheme="minorHAnsi"/>
              </w:rPr>
              <w:t xml:space="preserve"> </w:t>
            </w:r>
          </w:p>
          <w:p w14:paraId="0E5B9A89" w14:textId="77777777" w:rsidR="009F5BE6" w:rsidRPr="009F5BE6" w:rsidRDefault="009F5BE6" w:rsidP="009F5BE6">
            <w:pPr>
              <w:shd w:val="clear" w:color="auto" w:fill="FFFFFF"/>
              <w:outlineLvl w:val="1"/>
              <w:rPr>
                <w:rFonts w:cstheme="minorHAnsi"/>
              </w:rPr>
            </w:pPr>
            <w:r w:rsidRPr="009F5BE6">
              <w:rPr>
                <w:rFonts w:cstheme="minorHAnsi"/>
              </w:rPr>
              <w:t>RECONSULTATION</w:t>
            </w:r>
          </w:p>
          <w:p w14:paraId="01C467A3" w14:textId="6B44405A" w:rsidR="009F5BE6" w:rsidRPr="008749D5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 xml:space="preserve">Deadline: Please send your comments </w:t>
            </w:r>
            <w:r>
              <w:rPr>
                <w:rFonts w:cstheme="minorHAnsi"/>
              </w:rPr>
              <w:t xml:space="preserve">to EHC </w:t>
            </w:r>
            <w:r w:rsidRPr="009F5BE6">
              <w:rPr>
                <w:rFonts w:cstheme="minorHAnsi"/>
              </w:rPr>
              <w:t>by: 14th November 2025</w:t>
            </w:r>
          </w:p>
        </w:tc>
        <w:tc>
          <w:tcPr>
            <w:tcW w:w="1735" w:type="dxa"/>
          </w:tcPr>
          <w:p w14:paraId="66C882C6" w14:textId="4A8DD3F0" w:rsidR="009F5BE6" w:rsidRPr="008749D5" w:rsidRDefault="009F5BE6" w:rsidP="009F5BE6">
            <w:pPr>
              <w:shd w:val="clear" w:color="auto" w:fill="FFFFFF"/>
              <w:spacing w:after="100"/>
              <w:rPr>
                <w:rFonts w:eastAsia="Times New Roman" w:cstheme="minorHAnsi"/>
                <w:lang w:eastAsia="en-GB"/>
              </w:rPr>
            </w:pPr>
          </w:p>
        </w:tc>
      </w:tr>
      <w:tr w:rsidR="009F5BE6" w:rsidRPr="008749D5" w14:paraId="71B6A4D6" w14:textId="77777777" w:rsidTr="009F5BE6">
        <w:tc>
          <w:tcPr>
            <w:tcW w:w="8359" w:type="dxa"/>
          </w:tcPr>
          <w:p w14:paraId="200A6382" w14:textId="46AA1FC4" w:rsidR="009F5BE6" w:rsidRPr="008749D5" w:rsidRDefault="009F5BE6" w:rsidP="009F5BE6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14:paraId="499845B2" w14:textId="77777777" w:rsidR="009F5BE6" w:rsidRPr="008749D5" w:rsidRDefault="009F5BE6" w:rsidP="009F5BE6">
            <w:pPr>
              <w:shd w:val="clear" w:color="auto" w:fill="FFFFFF"/>
              <w:spacing w:after="100"/>
              <w:rPr>
                <w:rFonts w:eastAsia="Times New Roman" w:cstheme="minorHAnsi"/>
                <w:lang w:eastAsia="en-GB"/>
              </w:rPr>
            </w:pPr>
          </w:p>
        </w:tc>
      </w:tr>
      <w:tr w:rsidR="009F5BE6" w:rsidRPr="008749D5" w14:paraId="6E048BD6" w14:textId="77777777" w:rsidTr="009F5BE6">
        <w:tc>
          <w:tcPr>
            <w:tcW w:w="8359" w:type="dxa"/>
          </w:tcPr>
          <w:p w14:paraId="0EED34F4" w14:textId="07917BBF" w:rsidR="009F5BE6" w:rsidRPr="008749D5" w:rsidRDefault="009F5BE6" w:rsidP="009F5BE6">
            <w:pPr>
              <w:tabs>
                <w:tab w:val="left" w:pos="1056"/>
              </w:tabs>
              <w:rPr>
                <w:rFonts w:cstheme="minorHAnsi"/>
              </w:rPr>
            </w:pPr>
          </w:p>
        </w:tc>
        <w:tc>
          <w:tcPr>
            <w:tcW w:w="1735" w:type="dxa"/>
          </w:tcPr>
          <w:p w14:paraId="3D151CF4" w14:textId="4F5D907A" w:rsidR="009F5BE6" w:rsidRPr="008749D5" w:rsidRDefault="009F5BE6" w:rsidP="009F5BE6">
            <w:pPr>
              <w:shd w:val="clear" w:color="auto" w:fill="FFFFFF"/>
              <w:spacing w:after="100"/>
              <w:rPr>
                <w:rFonts w:eastAsia="Times New Roman" w:cstheme="minorHAnsi"/>
                <w:lang w:eastAsia="en-GB"/>
              </w:rPr>
            </w:pPr>
          </w:p>
        </w:tc>
      </w:tr>
      <w:tr w:rsidR="009F5BE6" w:rsidRPr="008749D5" w14:paraId="1871BFCB" w14:textId="77777777" w:rsidTr="009F5BE6">
        <w:tc>
          <w:tcPr>
            <w:tcW w:w="8359" w:type="dxa"/>
          </w:tcPr>
          <w:p w14:paraId="187232F3" w14:textId="797144E2" w:rsidR="009F5BE6" w:rsidRPr="008749D5" w:rsidRDefault="009F5BE6" w:rsidP="009F5BE6">
            <w:pPr>
              <w:rPr>
                <w:rFonts w:cstheme="minorHAnsi"/>
                <w:b/>
                <w:bCs/>
              </w:rPr>
            </w:pPr>
            <w:r w:rsidRPr="008749D5">
              <w:rPr>
                <w:rFonts w:cstheme="minorHAnsi"/>
                <w:b/>
                <w:bCs/>
              </w:rPr>
              <w:t xml:space="preserve">PLANNING </w:t>
            </w:r>
            <w:r>
              <w:rPr>
                <w:rFonts w:cstheme="minorHAnsi"/>
                <w:b/>
                <w:bCs/>
              </w:rPr>
              <w:t>DECISIONS</w:t>
            </w:r>
          </w:p>
        </w:tc>
        <w:tc>
          <w:tcPr>
            <w:tcW w:w="1735" w:type="dxa"/>
          </w:tcPr>
          <w:p w14:paraId="70195F81" w14:textId="096C8EC9" w:rsidR="009F5BE6" w:rsidRPr="008749D5" w:rsidRDefault="009F5BE6" w:rsidP="009F5BE6">
            <w:pPr>
              <w:rPr>
                <w:rFonts w:cstheme="minorHAnsi"/>
                <w:b/>
                <w:bCs/>
              </w:rPr>
            </w:pPr>
          </w:p>
        </w:tc>
      </w:tr>
      <w:tr w:rsidR="009F5BE6" w:rsidRPr="008749D5" w14:paraId="3023985C" w14:textId="77777777" w:rsidTr="009F5BE6">
        <w:tc>
          <w:tcPr>
            <w:tcW w:w="8359" w:type="dxa"/>
          </w:tcPr>
          <w:p w14:paraId="161AEB73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3/25/0452/VAR</w:t>
            </w:r>
          </w:p>
          <w:p w14:paraId="21C753BA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PROPOSAL: Variation of condition 2 (approved plans) pursuant to listed building consent</w:t>
            </w:r>
          </w:p>
          <w:p w14:paraId="76E3BBD7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3/22/1904/LBC dated 17.11.2022 (for: replacement porch). The amendments</w:t>
            </w:r>
          </w:p>
          <w:p w14:paraId="19AA2CEE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include the roof structure to be the same as existing, to keep roof height under</w:t>
            </w:r>
          </w:p>
          <w:p w14:paraId="10EE1454" w14:textId="0FF0D28D" w:rsidR="009F5BE6" w:rsidRPr="008749D5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the thatch line</w:t>
            </w:r>
            <w:r>
              <w:rPr>
                <w:rFonts w:cstheme="minorHAnsi"/>
              </w:rPr>
              <w:t xml:space="preserve"> AT</w:t>
            </w:r>
            <w:r w:rsidRPr="009F5BE6">
              <w:rPr>
                <w:rFonts w:cstheme="minorHAnsi"/>
              </w:rPr>
              <w:t xml:space="preserve"> The Old Vineyard Bury Green </w:t>
            </w:r>
          </w:p>
        </w:tc>
        <w:tc>
          <w:tcPr>
            <w:tcW w:w="1735" w:type="dxa"/>
          </w:tcPr>
          <w:p w14:paraId="030E77EA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Grant</w:t>
            </w:r>
          </w:p>
          <w:p w14:paraId="188E8F7E" w14:textId="5D1B07F3" w:rsidR="009F5BE6" w:rsidRPr="008749D5" w:rsidRDefault="009F5BE6" w:rsidP="009F5BE6">
            <w:pPr>
              <w:shd w:val="clear" w:color="auto" w:fill="FFFFFF"/>
              <w:spacing w:after="100"/>
              <w:rPr>
                <w:rFonts w:eastAsia="Times New Roman" w:cstheme="minorHAnsi"/>
                <w:lang w:eastAsia="en-GB"/>
              </w:rPr>
            </w:pPr>
            <w:r w:rsidRPr="009F5BE6">
              <w:rPr>
                <w:rFonts w:cstheme="minorHAnsi"/>
              </w:rPr>
              <w:t>Consent subject to Conditions</w:t>
            </w:r>
          </w:p>
        </w:tc>
      </w:tr>
      <w:tr w:rsidR="009F5BE6" w:rsidRPr="008749D5" w14:paraId="05442651" w14:textId="77777777" w:rsidTr="009F5BE6">
        <w:tc>
          <w:tcPr>
            <w:tcW w:w="8359" w:type="dxa"/>
          </w:tcPr>
          <w:p w14:paraId="46A9B142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3/25/1464/HH</w:t>
            </w:r>
          </w:p>
          <w:p w14:paraId="564AD6DF" w14:textId="1A5C46FB" w:rsidR="009F5BE6" w:rsidRPr="008749D5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PROPOSAL: Erection of garden shed</w:t>
            </w:r>
            <w:r>
              <w:rPr>
                <w:rFonts w:cstheme="minorHAnsi"/>
              </w:rPr>
              <w:t xml:space="preserve"> at </w:t>
            </w:r>
            <w:r w:rsidRPr="009F5BE6">
              <w:rPr>
                <w:rFonts w:cstheme="minorHAnsi"/>
              </w:rPr>
              <w:t xml:space="preserve"> </w:t>
            </w:r>
            <w:proofErr w:type="spellStart"/>
            <w:r w:rsidRPr="009F5BE6">
              <w:rPr>
                <w:rFonts w:cstheme="minorHAnsi"/>
              </w:rPr>
              <w:t>Fordhill</w:t>
            </w:r>
            <w:proofErr w:type="spellEnd"/>
            <w:r w:rsidRPr="009F5BE6">
              <w:rPr>
                <w:rFonts w:cstheme="minorHAnsi"/>
              </w:rPr>
              <w:t xml:space="preserve"> House Ford Hil</w:t>
            </w:r>
          </w:p>
        </w:tc>
        <w:tc>
          <w:tcPr>
            <w:tcW w:w="1735" w:type="dxa"/>
          </w:tcPr>
          <w:p w14:paraId="2E504B9F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Grant</w:t>
            </w:r>
          </w:p>
          <w:p w14:paraId="10220C72" w14:textId="5971F12C" w:rsidR="009F5BE6" w:rsidRPr="008749D5" w:rsidRDefault="009F5BE6" w:rsidP="009F5BE6">
            <w:pPr>
              <w:shd w:val="clear" w:color="auto" w:fill="FFFFFF"/>
              <w:spacing w:after="100"/>
              <w:rPr>
                <w:rFonts w:eastAsia="Times New Roman" w:cstheme="minorHAnsi"/>
                <w:lang w:eastAsia="en-GB"/>
              </w:rPr>
            </w:pPr>
            <w:r w:rsidRPr="009F5BE6">
              <w:rPr>
                <w:rFonts w:cstheme="minorHAnsi"/>
              </w:rPr>
              <w:t>Consent subject to Conditions</w:t>
            </w:r>
          </w:p>
        </w:tc>
      </w:tr>
      <w:tr w:rsidR="009F5BE6" w:rsidRPr="008749D5" w14:paraId="6BC9C4D6" w14:textId="77777777" w:rsidTr="009F5BE6">
        <w:tc>
          <w:tcPr>
            <w:tcW w:w="8359" w:type="dxa"/>
          </w:tcPr>
          <w:p w14:paraId="2AB3C79F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3/25/1093/VAR</w:t>
            </w:r>
          </w:p>
          <w:p w14:paraId="4DFDE9B1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PROPOSAL: Variation of Condition 2 (approved plans) to ref: 3/22/2365/HH Erection of</w:t>
            </w:r>
          </w:p>
          <w:p w14:paraId="20FAF75B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single storey side extension with addition of windows and insertion of 3 new</w:t>
            </w:r>
          </w:p>
          <w:p w14:paraId="56F01F8B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conservation rooflights. The amendments include the alteration of the external</w:t>
            </w:r>
          </w:p>
          <w:p w14:paraId="648698EF" w14:textId="1606269A" w:rsidR="009F5BE6" w:rsidRPr="008749D5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materials</w:t>
            </w:r>
            <w:r>
              <w:rPr>
                <w:rFonts w:cstheme="minorHAnsi"/>
              </w:rPr>
              <w:t xml:space="preserve"> at</w:t>
            </w:r>
            <w:r w:rsidRPr="009F5BE6">
              <w:rPr>
                <w:rFonts w:cstheme="minorHAnsi"/>
              </w:rPr>
              <w:t xml:space="preserve"> White Cottage Cradle End </w:t>
            </w:r>
          </w:p>
        </w:tc>
        <w:tc>
          <w:tcPr>
            <w:tcW w:w="1735" w:type="dxa"/>
          </w:tcPr>
          <w:p w14:paraId="01584305" w14:textId="77777777" w:rsidR="009F5BE6" w:rsidRPr="009F5BE6" w:rsidRDefault="009F5BE6" w:rsidP="009F5BE6">
            <w:pPr>
              <w:rPr>
                <w:rFonts w:cstheme="minorHAnsi"/>
              </w:rPr>
            </w:pPr>
            <w:r w:rsidRPr="009F5BE6">
              <w:rPr>
                <w:rFonts w:cstheme="minorHAnsi"/>
              </w:rPr>
              <w:t>Grant</w:t>
            </w:r>
          </w:p>
          <w:p w14:paraId="1AA5F58C" w14:textId="320FBBE8" w:rsidR="009F5BE6" w:rsidRPr="008749D5" w:rsidRDefault="009F5BE6" w:rsidP="009F5BE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9F5BE6">
              <w:rPr>
                <w:rFonts w:cstheme="minorHAnsi"/>
              </w:rPr>
              <w:t>Consent subject to Conditions</w:t>
            </w:r>
          </w:p>
        </w:tc>
      </w:tr>
      <w:tr w:rsidR="009F5BE6" w:rsidRPr="008749D5" w14:paraId="0EBF5C23" w14:textId="77777777" w:rsidTr="009F5BE6">
        <w:tc>
          <w:tcPr>
            <w:tcW w:w="8359" w:type="dxa"/>
          </w:tcPr>
          <w:p w14:paraId="00416B98" w14:textId="6BA0E256" w:rsidR="009F5BE6" w:rsidRPr="008749D5" w:rsidRDefault="009F5BE6" w:rsidP="009F5BE6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14:paraId="68C95499" w14:textId="20F82B46" w:rsidR="009F5BE6" w:rsidRPr="008749D5" w:rsidRDefault="009F5BE6" w:rsidP="009F5BE6">
            <w:pPr>
              <w:rPr>
                <w:rFonts w:cstheme="minorHAnsi"/>
              </w:rPr>
            </w:pPr>
          </w:p>
        </w:tc>
      </w:tr>
      <w:tr w:rsidR="009F5BE6" w:rsidRPr="008749D5" w14:paraId="1D8C35A9" w14:textId="77777777" w:rsidTr="009F5BE6">
        <w:tc>
          <w:tcPr>
            <w:tcW w:w="8359" w:type="dxa"/>
          </w:tcPr>
          <w:p w14:paraId="40E1460D" w14:textId="673E8E9F" w:rsidR="009F5BE6" w:rsidRPr="008749D5" w:rsidRDefault="009F5BE6" w:rsidP="009F5BE6">
            <w:pPr>
              <w:rPr>
                <w:rFonts w:cstheme="minorHAnsi"/>
                <w:b/>
                <w:bCs/>
              </w:rPr>
            </w:pPr>
            <w:r w:rsidRPr="008749D5">
              <w:rPr>
                <w:rFonts w:cstheme="minorHAnsi"/>
                <w:b/>
                <w:bCs/>
              </w:rPr>
              <w:t xml:space="preserve">PLANNING </w:t>
            </w:r>
            <w:r>
              <w:rPr>
                <w:rFonts w:cstheme="minorHAnsi"/>
                <w:b/>
                <w:bCs/>
              </w:rPr>
              <w:t>APPEALS</w:t>
            </w:r>
          </w:p>
        </w:tc>
        <w:tc>
          <w:tcPr>
            <w:tcW w:w="1735" w:type="dxa"/>
          </w:tcPr>
          <w:p w14:paraId="1D493BEA" w14:textId="65F26790" w:rsidR="009F5BE6" w:rsidRPr="008749D5" w:rsidRDefault="009F5BE6" w:rsidP="009F5BE6">
            <w:pPr>
              <w:rPr>
                <w:rFonts w:cstheme="minorHAnsi"/>
                <w:b/>
                <w:bCs/>
              </w:rPr>
            </w:pPr>
          </w:p>
        </w:tc>
      </w:tr>
      <w:tr w:rsidR="009F5BE6" w:rsidRPr="008749D5" w14:paraId="69AB729E" w14:textId="77777777" w:rsidTr="001525B9">
        <w:tc>
          <w:tcPr>
            <w:tcW w:w="10094" w:type="dxa"/>
            <w:gridSpan w:val="2"/>
          </w:tcPr>
          <w:p w14:paraId="0C56669E" w14:textId="655088EB" w:rsidR="009F5BE6" w:rsidRPr="008749D5" w:rsidRDefault="009F5BE6" w:rsidP="009F5BE6">
            <w:pPr>
              <w:rPr>
                <w:rFonts w:cstheme="minorHAnsi"/>
              </w:rPr>
            </w:pPr>
          </w:p>
        </w:tc>
      </w:tr>
      <w:tr w:rsidR="009F5BE6" w:rsidRPr="008749D5" w14:paraId="7AD80FE1" w14:textId="77777777" w:rsidTr="009F5BE6">
        <w:tc>
          <w:tcPr>
            <w:tcW w:w="8359" w:type="dxa"/>
          </w:tcPr>
          <w:p w14:paraId="5C693AA1" w14:textId="217B54CA" w:rsidR="009F5BE6" w:rsidRPr="008749D5" w:rsidRDefault="009F5BE6" w:rsidP="009F5BE6">
            <w:pPr>
              <w:rPr>
                <w:rFonts w:cstheme="minorHAnsi"/>
              </w:rPr>
            </w:pPr>
          </w:p>
        </w:tc>
        <w:tc>
          <w:tcPr>
            <w:tcW w:w="1735" w:type="dxa"/>
          </w:tcPr>
          <w:p w14:paraId="4BFB1817" w14:textId="77777777" w:rsidR="009F5BE6" w:rsidRPr="008749D5" w:rsidRDefault="009F5BE6" w:rsidP="009F5BE6">
            <w:pPr>
              <w:jc w:val="both"/>
              <w:rPr>
                <w:rFonts w:cstheme="minorHAnsi"/>
              </w:rPr>
            </w:pPr>
          </w:p>
        </w:tc>
      </w:tr>
    </w:tbl>
    <w:p w14:paraId="13071FEC" w14:textId="613F70D9" w:rsidR="00D34812" w:rsidRPr="0016527F" w:rsidRDefault="00D34812" w:rsidP="00C2255D">
      <w:pPr>
        <w:rPr>
          <w:sz w:val="24"/>
          <w:szCs w:val="24"/>
        </w:rPr>
      </w:pPr>
    </w:p>
    <w:sectPr w:rsidR="00D34812" w:rsidRPr="001652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C380B" w14:textId="77777777" w:rsidR="004E6400" w:rsidRDefault="004E6400" w:rsidP="003D2947">
      <w:pPr>
        <w:spacing w:after="0" w:line="240" w:lineRule="auto"/>
      </w:pPr>
      <w:r>
        <w:separator/>
      </w:r>
    </w:p>
  </w:endnote>
  <w:endnote w:type="continuationSeparator" w:id="0">
    <w:p w14:paraId="70C15FE4" w14:textId="77777777" w:rsidR="004E6400" w:rsidRDefault="004E6400" w:rsidP="003D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5BC1B" w14:textId="77777777" w:rsidR="004E6400" w:rsidRDefault="004E6400" w:rsidP="003D2947">
      <w:pPr>
        <w:spacing w:after="0" w:line="240" w:lineRule="auto"/>
      </w:pPr>
      <w:r>
        <w:separator/>
      </w:r>
    </w:p>
  </w:footnote>
  <w:footnote w:type="continuationSeparator" w:id="0">
    <w:p w14:paraId="60669AE9" w14:textId="77777777" w:rsidR="004E6400" w:rsidRDefault="004E6400" w:rsidP="003D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487F" w14:textId="71E93FEC" w:rsidR="003D2947" w:rsidRDefault="003D2947">
    <w:pPr>
      <w:pStyle w:val="Header"/>
    </w:pPr>
    <w:r>
      <w:t>Little Hadham Parish Council</w:t>
    </w:r>
  </w:p>
  <w:p w14:paraId="1C4635C6" w14:textId="2A39E98A" w:rsidR="003D2947" w:rsidRDefault="003D2947">
    <w:pPr>
      <w:pStyle w:val="Header"/>
    </w:pPr>
    <w:r>
      <w:t>Planning Applications</w:t>
    </w:r>
  </w:p>
  <w:p w14:paraId="0AC10C88" w14:textId="7E028487" w:rsidR="003D2947" w:rsidRDefault="003D2947">
    <w:pPr>
      <w:pStyle w:val="Header"/>
    </w:pPr>
    <w:r>
      <w:t xml:space="preserve">LHPC Meeting </w:t>
    </w:r>
    <w:r w:rsidR="009F5BE6">
      <w:t>4</w:t>
    </w:r>
    <w:r w:rsidR="008749D5" w:rsidRPr="008749D5">
      <w:rPr>
        <w:vertAlign w:val="superscript"/>
      </w:rPr>
      <w:t>th</w:t>
    </w:r>
    <w:r w:rsidR="008749D5">
      <w:t xml:space="preserve"> </w:t>
    </w:r>
    <w:r w:rsidR="009F5BE6">
      <w:t xml:space="preserve">November </w:t>
    </w:r>
    <w:r w:rsidR="008749D5"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47"/>
    <w:rsid w:val="0000541B"/>
    <w:rsid w:val="00010F87"/>
    <w:rsid w:val="00015D41"/>
    <w:rsid w:val="00015DDE"/>
    <w:rsid w:val="000256FB"/>
    <w:rsid w:val="000300D6"/>
    <w:rsid w:val="00035808"/>
    <w:rsid w:val="00045BA7"/>
    <w:rsid w:val="00051447"/>
    <w:rsid w:val="000537D6"/>
    <w:rsid w:val="00060B94"/>
    <w:rsid w:val="00090F48"/>
    <w:rsid w:val="000E510D"/>
    <w:rsid w:val="000F05BE"/>
    <w:rsid w:val="001007BC"/>
    <w:rsid w:val="001027FA"/>
    <w:rsid w:val="00106367"/>
    <w:rsid w:val="001137C4"/>
    <w:rsid w:val="0013047B"/>
    <w:rsid w:val="00131D91"/>
    <w:rsid w:val="001329A9"/>
    <w:rsid w:val="00134A9A"/>
    <w:rsid w:val="00147062"/>
    <w:rsid w:val="00161219"/>
    <w:rsid w:val="0016527F"/>
    <w:rsid w:val="00166F35"/>
    <w:rsid w:val="00167141"/>
    <w:rsid w:val="00170BC0"/>
    <w:rsid w:val="00176AB9"/>
    <w:rsid w:val="00181C96"/>
    <w:rsid w:val="0018477B"/>
    <w:rsid w:val="001B6FAF"/>
    <w:rsid w:val="001D20F5"/>
    <w:rsid w:val="001D4B7C"/>
    <w:rsid w:val="001E3D1A"/>
    <w:rsid w:val="002011C4"/>
    <w:rsid w:val="002077F1"/>
    <w:rsid w:val="00234249"/>
    <w:rsid w:val="00245678"/>
    <w:rsid w:val="00246464"/>
    <w:rsid w:val="002557D7"/>
    <w:rsid w:val="0026179A"/>
    <w:rsid w:val="00283F6B"/>
    <w:rsid w:val="00291F0D"/>
    <w:rsid w:val="002A6952"/>
    <w:rsid w:val="002A7A9A"/>
    <w:rsid w:val="002B150B"/>
    <w:rsid w:val="002B697F"/>
    <w:rsid w:val="002C0FF8"/>
    <w:rsid w:val="002C1C10"/>
    <w:rsid w:val="002D2AA5"/>
    <w:rsid w:val="002E4E0C"/>
    <w:rsid w:val="002F3DAD"/>
    <w:rsid w:val="002F47F6"/>
    <w:rsid w:val="003252E4"/>
    <w:rsid w:val="00332DD0"/>
    <w:rsid w:val="00346101"/>
    <w:rsid w:val="00346B1C"/>
    <w:rsid w:val="003475CF"/>
    <w:rsid w:val="0036089E"/>
    <w:rsid w:val="00361354"/>
    <w:rsid w:val="00371CD6"/>
    <w:rsid w:val="00377DC9"/>
    <w:rsid w:val="003827A7"/>
    <w:rsid w:val="00390DEC"/>
    <w:rsid w:val="003A338C"/>
    <w:rsid w:val="003C751D"/>
    <w:rsid w:val="003C76CA"/>
    <w:rsid w:val="003D2947"/>
    <w:rsid w:val="003E2BC6"/>
    <w:rsid w:val="003F35CC"/>
    <w:rsid w:val="004126BF"/>
    <w:rsid w:val="0042712B"/>
    <w:rsid w:val="004362B2"/>
    <w:rsid w:val="00443214"/>
    <w:rsid w:val="00471826"/>
    <w:rsid w:val="00480041"/>
    <w:rsid w:val="00490E79"/>
    <w:rsid w:val="00497F69"/>
    <w:rsid w:val="004B5936"/>
    <w:rsid w:val="004D43A3"/>
    <w:rsid w:val="004D5470"/>
    <w:rsid w:val="004E44A8"/>
    <w:rsid w:val="004E6290"/>
    <w:rsid w:val="004E6400"/>
    <w:rsid w:val="005304DE"/>
    <w:rsid w:val="005400EE"/>
    <w:rsid w:val="005500A3"/>
    <w:rsid w:val="0055092E"/>
    <w:rsid w:val="00551E08"/>
    <w:rsid w:val="00560D6F"/>
    <w:rsid w:val="00593FAC"/>
    <w:rsid w:val="005C14ED"/>
    <w:rsid w:val="00621373"/>
    <w:rsid w:val="00627FF6"/>
    <w:rsid w:val="00630E55"/>
    <w:rsid w:val="00641F93"/>
    <w:rsid w:val="00651AA8"/>
    <w:rsid w:val="00661FBF"/>
    <w:rsid w:val="006723C9"/>
    <w:rsid w:val="006837A7"/>
    <w:rsid w:val="00683C05"/>
    <w:rsid w:val="0068431C"/>
    <w:rsid w:val="006D67B7"/>
    <w:rsid w:val="006F0976"/>
    <w:rsid w:val="006F39FB"/>
    <w:rsid w:val="00705656"/>
    <w:rsid w:val="00705736"/>
    <w:rsid w:val="00724EA5"/>
    <w:rsid w:val="007376B6"/>
    <w:rsid w:val="00776DC6"/>
    <w:rsid w:val="007B2262"/>
    <w:rsid w:val="007B39F6"/>
    <w:rsid w:val="007D2527"/>
    <w:rsid w:val="007D6B7E"/>
    <w:rsid w:val="007F0785"/>
    <w:rsid w:val="007F287D"/>
    <w:rsid w:val="008042D6"/>
    <w:rsid w:val="008216BA"/>
    <w:rsid w:val="0082464A"/>
    <w:rsid w:val="0083457A"/>
    <w:rsid w:val="00844F47"/>
    <w:rsid w:val="0084511A"/>
    <w:rsid w:val="00853E57"/>
    <w:rsid w:val="008631E2"/>
    <w:rsid w:val="008749D5"/>
    <w:rsid w:val="008759E6"/>
    <w:rsid w:val="00896896"/>
    <w:rsid w:val="008C49ED"/>
    <w:rsid w:val="008D1EEF"/>
    <w:rsid w:val="00901930"/>
    <w:rsid w:val="0092243D"/>
    <w:rsid w:val="00925536"/>
    <w:rsid w:val="009A1EC4"/>
    <w:rsid w:val="009F3675"/>
    <w:rsid w:val="009F4193"/>
    <w:rsid w:val="009F54A0"/>
    <w:rsid w:val="009F5BE6"/>
    <w:rsid w:val="00A048D4"/>
    <w:rsid w:val="00A15E96"/>
    <w:rsid w:val="00A2553C"/>
    <w:rsid w:val="00A41FA1"/>
    <w:rsid w:val="00A47F03"/>
    <w:rsid w:val="00A54B01"/>
    <w:rsid w:val="00A74DED"/>
    <w:rsid w:val="00A84029"/>
    <w:rsid w:val="00A92EBD"/>
    <w:rsid w:val="00A92EBF"/>
    <w:rsid w:val="00AB103E"/>
    <w:rsid w:val="00AB206E"/>
    <w:rsid w:val="00AC18DC"/>
    <w:rsid w:val="00AC7695"/>
    <w:rsid w:val="00AF1396"/>
    <w:rsid w:val="00B05EFB"/>
    <w:rsid w:val="00B17408"/>
    <w:rsid w:val="00B26DED"/>
    <w:rsid w:val="00B47577"/>
    <w:rsid w:val="00B5639F"/>
    <w:rsid w:val="00B86171"/>
    <w:rsid w:val="00B87681"/>
    <w:rsid w:val="00BD5487"/>
    <w:rsid w:val="00BE7DEC"/>
    <w:rsid w:val="00C2255D"/>
    <w:rsid w:val="00C32A65"/>
    <w:rsid w:val="00C373EC"/>
    <w:rsid w:val="00C5122C"/>
    <w:rsid w:val="00C817D3"/>
    <w:rsid w:val="00C83BE3"/>
    <w:rsid w:val="00C847B7"/>
    <w:rsid w:val="00C870FA"/>
    <w:rsid w:val="00C87868"/>
    <w:rsid w:val="00CB4742"/>
    <w:rsid w:val="00CD0106"/>
    <w:rsid w:val="00D01A8D"/>
    <w:rsid w:val="00D12E55"/>
    <w:rsid w:val="00D14751"/>
    <w:rsid w:val="00D22F58"/>
    <w:rsid w:val="00D304AE"/>
    <w:rsid w:val="00D34812"/>
    <w:rsid w:val="00D4658B"/>
    <w:rsid w:val="00D51B23"/>
    <w:rsid w:val="00D77E14"/>
    <w:rsid w:val="00DA20A3"/>
    <w:rsid w:val="00DA29FB"/>
    <w:rsid w:val="00DB1A62"/>
    <w:rsid w:val="00DB518F"/>
    <w:rsid w:val="00DD1EB9"/>
    <w:rsid w:val="00DE00EF"/>
    <w:rsid w:val="00DE72CE"/>
    <w:rsid w:val="00DF2E58"/>
    <w:rsid w:val="00E071B3"/>
    <w:rsid w:val="00E16150"/>
    <w:rsid w:val="00E32EAC"/>
    <w:rsid w:val="00E36531"/>
    <w:rsid w:val="00E36A61"/>
    <w:rsid w:val="00E41294"/>
    <w:rsid w:val="00E415F6"/>
    <w:rsid w:val="00E61A8E"/>
    <w:rsid w:val="00E7495A"/>
    <w:rsid w:val="00E91CED"/>
    <w:rsid w:val="00E9318B"/>
    <w:rsid w:val="00EA1AD2"/>
    <w:rsid w:val="00EA3CA4"/>
    <w:rsid w:val="00EA74F8"/>
    <w:rsid w:val="00EB1260"/>
    <w:rsid w:val="00EC6582"/>
    <w:rsid w:val="00EE6651"/>
    <w:rsid w:val="00EF0DBA"/>
    <w:rsid w:val="00EF40AA"/>
    <w:rsid w:val="00EF4195"/>
    <w:rsid w:val="00EF57D5"/>
    <w:rsid w:val="00EF73D5"/>
    <w:rsid w:val="00F12282"/>
    <w:rsid w:val="00F1608C"/>
    <w:rsid w:val="00F17781"/>
    <w:rsid w:val="00F17C09"/>
    <w:rsid w:val="00F221EE"/>
    <w:rsid w:val="00F30D68"/>
    <w:rsid w:val="00F3443F"/>
    <w:rsid w:val="00F4166D"/>
    <w:rsid w:val="00F46DA1"/>
    <w:rsid w:val="00F522D3"/>
    <w:rsid w:val="00F7513B"/>
    <w:rsid w:val="00F752B7"/>
    <w:rsid w:val="00F8527D"/>
    <w:rsid w:val="00F93324"/>
    <w:rsid w:val="00F95B3C"/>
    <w:rsid w:val="00FA1D7D"/>
    <w:rsid w:val="00FB14E4"/>
    <w:rsid w:val="00FB53EF"/>
    <w:rsid w:val="00FB6BEA"/>
    <w:rsid w:val="00FE381C"/>
    <w:rsid w:val="00FE53F6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72849"/>
  <w15:chartTrackingRefBased/>
  <w15:docId w15:val="{F95B6F27-ED92-43CB-9E54-3379304D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76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947"/>
  </w:style>
  <w:style w:type="paragraph" w:styleId="Footer">
    <w:name w:val="footer"/>
    <w:basedOn w:val="Normal"/>
    <w:link w:val="FooterChar"/>
    <w:uiPriority w:val="99"/>
    <w:unhideWhenUsed/>
    <w:rsid w:val="003D2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947"/>
  </w:style>
  <w:style w:type="table" w:styleId="TableGrid">
    <w:name w:val="Table Grid"/>
    <w:basedOn w:val="TableNormal"/>
    <w:uiPriority w:val="39"/>
    <w:rsid w:val="003D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0FF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C769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7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1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3099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1255</Characters>
  <Application>Microsoft Office Word</Application>
  <DocSecurity>0</DocSecurity>
  <Lines>313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Hadham</dc:creator>
  <cp:keywords/>
  <dc:description/>
  <cp:lastModifiedBy>Carole Page</cp:lastModifiedBy>
  <cp:revision>3</cp:revision>
  <dcterms:created xsi:type="dcterms:W3CDTF">2025-10-28T15:06:00Z</dcterms:created>
  <dcterms:modified xsi:type="dcterms:W3CDTF">2025-10-28T15:15:00Z</dcterms:modified>
</cp:coreProperties>
</file>